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cs="仿宋_GB2312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厦门市高新技术发展协会服务内容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及202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厦门市高新技术发展协会（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以下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简称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协会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）作为政府和企业间的桥梁和纽带，始终以“服务”为宗旨，积极主动为企业、为高新技术产业发展、为政府提供高质量的服务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2023年协会再次获评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中国社会组织评估“5A”等级（最高评估等级）。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sz w:val="30"/>
          <w:szCs w:val="30"/>
          <w:highlight w:val="none"/>
        </w:rPr>
        <w:t>协会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sz w:val="30"/>
          <w:szCs w:val="30"/>
          <w:highlight w:val="none"/>
          <w:lang w:val="en-US" w:eastAsia="zh-CN"/>
        </w:rPr>
        <w:t>为会员及企业提供的各项服务工作均为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sz w:val="30"/>
          <w:szCs w:val="30"/>
          <w:highlight w:val="none"/>
        </w:rPr>
        <w:t>免费服务。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</w:rPr>
        <w:t>协会承担的主要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</w:rPr>
        <w:t>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受市高企认定办和市科技局委托，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配合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开展我市国家级高企认定、市级高企备案、省科技小巨人企业遴选和认定、未来产业骨干企业备案的政策宣讲、咨询辅导、形式审查、受理及奖励兑现等事务性工作；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在市市场监督管理局、市检察院和市司法局的指导下，设立厦门市高新技术发展协会知识产权维权工作站、知识产权检察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保护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工作站和高新技术知识产权纠纷人民调解委员会，积极为会员单位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免费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提供知识产权综合性维权服务、知识产权司法保护、法律咨询服务、仲裁调解等相关工作；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在市委组织部及市高层次人才发展中心的指导下，协会高层次人才分会积极服务于我市高层次人才创新创业，协同保障省高层次人才认定、市“双百计划”、“留厦六条”等重大人才政策落地；配合开展人才项目资本合作展、人才服务月等市级重点活动；积极参与集美区委组织部重大人才工程辅助工作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推动成立了HALO集美国际化人才驿站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受市科技局委托，配合开展我市“双百计划”领军型创业人才申报材料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受理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、形式审查等事务性工作；市留学人员创业扶持资金政策兑现；市生物医药与健康产业专业技术人才及“三高”企业薪金个人所得税地方留成部分奖励金兑现；配合完成厦门市市科技专家库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专家征集、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入库信息审核及专家库管理等事务性工作；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highlight w:val="none"/>
          <w:lang w:eastAsia="zh-CN"/>
        </w:rPr>
        <w:t>作为厦门生物与新医药产业技术创新战略联盟秘书处</w:t>
      </w: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highlight w:val="none"/>
          <w:lang w:val="en-US" w:eastAsia="zh-CN"/>
        </w:rPr>
        <w:t>单位，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积极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开展行业交流、产业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对接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活动，促进企业、高校院所和行业协会之间的交流互动，推进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行业资源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整合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鼓励研发创新，促进我市生物医药与健康产业高质量发展；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密切联系企业与政府管理部门，帮助企业充分了解并落实享受有关政策，协助会员反映问题、解决问题，为会员发展营造良好的环境；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积极开展产业和企业宣传，组织有关高新领域的理论研究和学术活动，开展各类信息交流、合作、展览、培训和咨询等服务工作。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textAlignment w:val="auto"/>
        <w:rPr>
          <w:rFonts w:hint="eastAsia" w:ascii="仿宋_GB2312" w:hAnsi="仿宋" w:eastAsia="仿宋_GB2312" w:cs="Times New Roman"/>
          <w:b/>
          <w:bCs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仿宋_GB2312" w:hAnsi="仿宋" w:eastAsia="仿宋_GB2312" w:cs="Times New Roman"/>
          <w:b/>
          <w:bCs/>
          <w:color w:val="auto"/>
          <w:spacing w:val="0"/>
          <w:sz w:val="30"/>
          <w:szCs w:val="30"/>
          <w:highlight w:val="none"/>
          <w:lang w:val="en-US" w:eastAsia="zh-CN"/>
        </w:rPr>
        <w:t>协会2023年度工作开展情况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val="en-US" w:eastAsia="zh-CN"/>
        </w:rPr>
        <w:t>1、做好辅导培训。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2023年，协会配合市科技局到各区、各行业协会商会、园区举办了两轮共26场（其中2场线上）高新技术企业认定政策专题培训，累计吸引1000多家企业超1400人次参加了线下培训；配合市科技部门、税务部门到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180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多家企业开展高企认定后续日常管理及高企认定实地核查。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</w:rPr>
        <w:t>（协会在从事高企认定咨询辅导、受理、形式审查等服务工作中均不收取任何费用。）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</w:rPr>
        <w:t>2、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val="en-US" w:eastAsia="zh-CN"/>
        </w:rPr>
        <w:t>开展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</w:rPr>
        <w:t>申报受理。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配合市科技局完成两批次1700多家企业国高申报辅导、受理、形式审查等事务性工作；配合开展高企认定中介机构资格确认和培训工作，最终85家中介机构获推荐资格；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配合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完成市级高企备案、省科技小巨人企业遴选和认定、高层次人才服务等事务性工作。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val="en-US" w:eastAsia="zh-CN"/>
        </w:rPr>
        <w:t>3、积极拓展服务。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配合市科技局组织我市国家级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高企等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企业人才子女申报就读厦门高新学校，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共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推荐上报40人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首次向市委组织部申请市第十二批拔尖人才推荐权并获推荐名额1名；</w:t>
      </w:r>
      <w:r>
        <w:rPr>
          <w:rFonts w:hint="eastAsia" w:ascii="仿宋" w:hAnsi="仿宋" w:eastAsia="仿宋" w:cs="仿宋"/>
          <w:b w:val="0"/>
          <w:color w:val="auto"/>
          <w:spacing w:val="0"/>
          <w:kern w:val="2"/>
          <w:sz w:val="30"/>
          <w:szCs w:val="30"/>
          <w:highlight w:val="none"/>
          <w:lang w:val="en-US" w:eastAsia="zh-CN" w:bidi="ar-SA"/>
        </w:rPr>
        <w:t>配合市科技局开展科技计划项目绩效评价工作及配合做好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厦门科学城国家级高企经营奖励申报等事务性工作。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</w:rPr>
        <w:t>配合政策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eastAsia="zh-CN"/>
        </w:rPr>
        <w:t>兑现。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2021年，协会在广泛征求会员意见的基础上向市科技局提出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加大高企扶持力度的建议，并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配合市科技局推动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出台了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eastAsia="zh-CN"/>
        </w:rPr>
        <w:t>我市国家级高企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扶持新政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。新政的推出受到企业的普遍欢迎。2023年，协会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配合市科技局完成对通过认定的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1400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多家高企兑现市级财政奖励超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2.3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val="en-US" w:eastAsia="zh-CN"/>
        </w:rPr>
        <w:t>5、持续提升数字化水平。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为方便会员办事，协会推出了多项定制化在线服务，可为会员提供电子报名、辅导业务网上预约、直播培训、线上收据等各种便利化服务。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  <w:t>2023年，协会共推送相关政策信息、政策解读70余篇，其中数篇阅读量破万，目前协会微信公众号关注人数超2.4万人；为3400多家企业提供网上预约培训等服务；1400多家企业通过电子收据兑现相关政策。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0"/>
          <w:szCs w:val="30"/>
          <w:highlight w:val="none"/>
          <w:lang w:eastAsia="zh-CN"/>
        </w:rPr>
        <w:t>增加会员权益内容。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0"/>
          <w:szCs w:val="30"/>
          <w:highlight w:val="none"/>
          <w:lang w:val="en-US" w:eastAsia="zh-CN"/>
        </w:rPr>
        <w:t>对2023年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0"/>
          <w:szCs w:val="30"/>
          <w:highlight w:val="none"/>
          <w:lang w:val="en-US" w:eastAsia="zh-CN" w:bidi="ar-SA"/>
        </w:rPr>
        <w:t>通过国家级高企认定的会员单位增加牌匾制作补贴权益，每家会员单位补贴200元。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0"/>
          <w:szCs w:val="30"/>
          <w:highlight w:val="none"/>
        </w:rPr>
        <w:t>协会始终不忘初心，以强烈的责任心、使命感，为会员单位提供优质服务。我们将进一步创新服务手段，拓展服务功能，努力为会员发展创造良好条件。</w:t>
      </w:r>
    </w:p>
    <w:sectPr>
      <w:pgSz w:w="11906" w:h="16838"/>
      <w:pgMar w:top="760" w:right="839" w:bottom="930" w:left="83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70D70"/>
    <w:multiLevelType w:val="singleLevel"/>
    <w:tmpl w:val="CA070D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zg2YmIzNTEyMGEwOTc3OWRmN2U4YTc2ZWJmNmYifQ=="/>
  </w:docVars>
  <w:rsids>
    <w:rsidRoot w:val="004B520A"/>
    <w:rsid w:val="000F46EC"/>
    <w:rsid w:val="003B68D1"/>
    <w:rsid w:val="004B520A"/>
    <w:rsid w:val="004C3309"/>
    <w:rsid w:val="00685DA8"/>
    <w:rsid w:val="013A101A"/>
    <w:rsid w:val="06AF2D8B"/>
    <w:rsid w:val="0B8A2AEF"/>
    <w:rsid w:val="0D3A7EF6"/>
    <w:rsid w:val="105F20D6"/>
    <w:rsid w:val="155A127A"/>
    <w:rsid w:val="18FF156C"/>
    <w:rsid w:val="1A393593"/>
    <w:rsid w:val="1A98493A"/>
    <w:rsid w:val="1BFE6842"/>
    <w:rsid w:val="1C3D730A"/>
    <w:rsid w:val="1F892A00"/>
    <w:rsid w:val="20DE3BC5"/>
    <w:rsid w:val="225D6FB6"/>
    <w:rsid w:val="250F7D12"/>
    <w:rsid w:val="294C07FB"/>
    <w:rsid w:val="299C6344"/>
    <w:rsid w:val="2C3008D7"/>
    <w:rsid w:val="2CAE6D54"/>
    <w:rsid w:val="310A0EF8"/>
    <w:rsid w:val="315A0FA2"/>
    <w:rsid w:val="32FC728D"/>
    <w:rsid w:val="355C62D5"/>
    <w:rsid w:val="35EC4B4E"/>
    <w:rsid w:val="36846E1D"/>
    <w:rsid w:val="38E66C7A"/>
    <w:rsid w:val="3E6E1B23"/>
    <w:rsid w:val="3FDB1CE9"/>
    <w:rsid w:val="424F165A"/>
    <w:rsid w:val="47200371"/>
    <w:rsid w:val="49661E96"/>
    <w:rsid w:val="4A446977"/>
    <w:rsid w:val="4AC32EB3"/>
    <w:rsid w:val="4D514669"/>
    <w:rsid w:val="50AB4CA2"/>
    <w:rsid w:val="51C936D9"/>
    <w:rsid w:val="56741AD5"/>
    <w:rsid w:val="56D63B7F"/>
    <w:rsid w:val="5B7A5F48"/>
    <w:rsid w:val="602A16DD"/>
    <w:rsid w:val="645A2DD0"/>
    <w:rsid w:val="65A83BD1"/>
    <w:rsid w:val="666134E7"/>
    <w:rsid w:val="67AE78ED"/>
    <w:rsid w:val="6A9C6485"/>
    <w:rsid w:val="6DEF33E3"/>
    <w:rsid w:val="70F405FE"/>
    <w:rsid w:val="71E82DFB"/>
    <w:rsid w:val="73F949D4"/>
    <w:rsid w:val="7655368D"/>
    <w:rsid w:val="7CBE6B41"/>
    <w:rsid w:val="7DB2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1723</Words>
  <Characters>1781</Characters>
  <Lines>11</Lines>
  <Paragraphs>3</Paragraphs>
  <TotalTime>6</TotalTime>
  <ScaleCrop>false</ScaleCrop>
  <LinksUpToDate>false</LinksUpToDate>
  <CharactersWithSpaces>1781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2022-04-13T02:51:00Z</dcterms:created>
  <dc:creator>Administrator</dc:creator>
  <cp:lastModifiedBy>厦门高新协会</cp:lastModifiedBy>
  <cp:lastPrinted>2024-04-09T02:45:00Z</cp:lastPrinted>
  <dcterms:modified xsi:type="dcterms:W3CDTF">2024-04-09T09:37:16Z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DB25DD692A9F400EBE752B27AD5CCD5C</vt:lpwstr>
  </property>
</Properties>
</file>